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23" w:rsidRPr="00C935C4" w:rsidRDefault="00C935C4" w:rsidP="00C935C4">
      <w:pPr>
        <w:jc w:val="center"/>
        <w:rPr>
          <w:rFonts w:asciiTheme="majorEastAsia" w:eastAsiaTheme="majorEastAsia" w:hAnsiTheme="majorEastAsia"/>
          <w:sz w:val="28"/>
          <w:szCs w:val="28"/>
          <w:bdr w:val="single" w:sz="4" w:space="0" w:color="auto"/>
        </w:rPr>
      </w:pPr>
      <w:bookmarkStart w:id="0" w:name="_GoBack"/>
      <w:bookmarkEnd w:id="0"/>
      <w:r>
        <w:rPr>
          <w:rFonts w:asciiTheme="majorEastAsia" w:eastAsiaTheme="majorEastAsia" w:hAnsiTheme="majorEastAsia" w:hint="eastAsia"/>
          <w:sz w:val="28"/>
          <w:szCs w:val="28"/>
          <w:bdr w:val="single" w:sz="4" w:space="0" w:color="auto"/>
        </w:rPr>
        <w:t xml:space="preserve">　</w:t>
      </w:r>
      <w:r w:rsidR="00C42F23" w:rsidRPr="00C935C4">
        <w:rPr>
          <w:rFonts w:asciiTheme="majorEastAsia" w:eastAsiaTheme="majorEastAsia" w:hAnsiTheme="majorEastAsia" w:hint="eastAsia"/>
          <w:sz w:val="28"/>
          <w:szCs w:val="28"/>
          <w:bdr w:val="single" w:sz="4" w:space="0" w:color="auto"/>
        </w:rPr>
        <w:t>地方公務員の給与改定の手順</w:t>
      </w:r>
      <w:r>
        <w:rPr>
          <w:rFonts w:asciiTheme="majorEastAsia" w:eastAsiaTheme="majorEastAsia" w:hAnsiTheme="majorEastAsia" w:hint="eastAsia"/>
          <w:sz w:val="28"/>
          <w:szCs w:val="28"/>
          <w:bdr w:val="single" w:sz="4" w:space="0" w:color="auto"/>
        </w:rPr>
        <w:t xml:space="preserve">　</w:t>
      </w:r>
    </w:p>
    <w:p w:rsidR="00C42F23" w:rsidRPr="00C42F23" w:rsidRDefault="00C42F23" w:rsidP="00C935C4">
      <w:pPr>
        <w:ind w:left="240" w:hangingChars="100" w:hanging="240"/>
        <w:rPr>
          <w:rFonts w:asciiTheme="majorEastAsia" w:eastAsiaTheme="majorEastAsia" w:hAnsiTheme="majorEastAsia"/>
          <w:sz w:val="22"/>
          <w:szCs w:val="22"/>
        </w:rPr>
      </w:pPr>
      <w:r w:rsidRPr="00C42F23">
        <w:rPr>
          <w:rFonts w:asciiTheme="majorEastAsia" w:eastAsiaTheme="majorEastAsia" w:hAnsiTheme="majorEastAsia" w:hint="eastAsia"/>
          <w:sz w:val="22"/>
          <w:szCs w:val="22"/>
        </w:rPr>
        <w:t>○</w:t>
      </w:r>
      <w:r w:rsidR="00C935C4">
        <w:rPr>
          <w:rFonts w:asciiTheme="majorEastAsia" w:eastAsiaTheme="majorEastAsia" w:hAnsiTheme="majorEastAsia" w:hint="eastAsia"/>
          <w:sz w:val="22"/>
          <w:szCs w:val="22"/>
        </w:rPr>
        <w:t xml:space="preserve">　</w:t>
      </w:r>
      <w:r w:rsidRPr="00C42F23">
        <w:rPr>
          <w:rFonts w:asciiTheme="majorEastAsia" w:eastAsiaTheme="majorEastAsia" w:hAnsiTheme="majorEastAsia" w:hint="eastAsia"/>
          <w:sz w:val="22"/>
          <w:szCs w:val="22"/>
        </w:rPr>
        <w:t>人事委員会が置かれている団体（４７都道府県、２０指定都市、和歌山市及び特別区）においては、人事院勧告の内容及び当該団体の民間賃金動向等を総合勘案して人事委員会が勧告を行い、国の勧告の取扱いに関する閣議決定を受けて、具体的な給与改定方針が決定される。</w:t>
      </w:r>
    </w:p>
    <w:p w:rsidR="00C42F23" w:rsidRPr="00C42F23" w:rsidRDefault="00C42F23" w:rsidP="00C935C4">
      <w:pPr>
        <w:ind w:left="240" w:hangingChars="100" w:hanging="240"/>
        <w:rPr>
          <w:rFonts w:asciiTheme="majorEastAsia" w:eastAsiaTheme="majorEastAsia" w:hAnsiTheme="majorEastAsia"/>
          <w:sz w:val="22"/>
          <w:szCs w:val="22"/>
        </w:rPr>
      </w:pPr>
      <w:r w:rsidRPr="00C42F23">
        <w:rPr>
          <w:rFonts w:asciiTheme="majorEastAsia" w:eastAsiaTheme="majorEastAsia" w:hAnsiTheme="majorEastAsia" w:hint="eastAsia"/>
          <w:sz w:val="22"/>
          <w:szCs w:val="22"/>
        </w:rPr>
        <w:t>○</w:t>
      </w:r>
      <w:r w:rsidR="00C935C4">
        <w:rPr>
          <w:rFonts w:asciiTheme="majorEastAsia" w:eastAsiaTheme="majorEastAsia" w:hAnsiTheme="majorEastAsia" w:hint="eastAsia"/>
          <w:sz w:val="22"/>
          <w:szCs w:val="22"/>
        </w:rPr>
        <w:t xml:space="preserve">　</w:t>
      </w:r>
      <w:r w:rsidRPr="00C42F23">
        <w:rPr>
          <w:rFonts w:asciiTheme="majorEastAsia" w:eastAsiaTheme="majorEastAsia" w:hAnsiTheme="majorEastAsia" w:hint="eastAsia"/>
          <w:sz w:val="22"/>
          <w:szCs w:val="22"/>
        </w:rPr>
        <w:t>人事委員会が置かれていない団体（和歌山市以外の市町村）においては、国の取扱いや都道府県の勧告等を受けて、具体的な給与改定方針が決定される。</w:t>
      </w:r>
    </w:p>
    <w:p w:rsidR="003F3496" w:rsidRDefault="00C42F23" w:rsidP="00C42F23">
      <w:pPr>
        <w:rPr>
          <w:rFonts w:asciiTheme="majorEastAsia" w:eastAsiaTheme="majorEastAsia" w:hAnsiTheme="majorEastAsia"/>
          <w:sz w:val="22"/>
          <w:szCs w:val="22"/>
        </w:rPr>
      </w:pPr>
      <w:r w:rsidRPr="00C42F23">
        <w:rPr>
          <w:rFonts w:asciiTheme="majorEastAsia" w:eastAsiaTheme="majorEastAsia" w:hAnsiTheme="majorEastAsia" w:hint="eastAsia"/>
          <w:sz w:val="22"/>
          <w:szCs w:val="22"/>
        </w:rPr>
        <w:t>○</w:t>
      </w:r>
      <w:r w:rsidR="00C935C4">
        <w:rPr>
          <w:rFonts w:asciiTheme="majorEastAsia" w:eastAsiaTheme="majorEastAsia" w:hAnsiTheme="majorEastAsia" w:hint="eastAsia"/>
          <w:sz w:val="22"/>
          <w:szCs w:val="22"/>
        </w:rPr>
        <w:t xml:space="preserve">　</w:t>
      </w:r>
      <w:r w:rsidRPr="00C42F23">
        <w:rPr>
          <w:rFonts w:asciiTheme="majorEastAsia" w:eastAsiaTheme="majorEastAsia" w:hAnsiTheme="majorEastAsia" w:hint="eastAsia"/>
          <w:sz w:val="22"/>
          <w:szCs w:val="22"/>
        </w:rPr>
        <w:t>いずれの場合でも、議会の議決により、給与条例を改正することとなる。</w:t>
      </w:r>
    </w:p>
    <w:p w:rsidR="00906CBB" w:rsidRDefault="00906CBB" w:rsidP="00C42F23">
      <w:pPr>
        <w:rPr>
          <w:rFonts w:asciiTheme="majorEastAsia" w:eastAsiaTheme="majorEastAsia" w:hAnsiTheme="majorEastAsia"/>
          <w:sz w:val="22"/>
          <w:szCs w:val="22"/>
        </w:rPr>
      </w:pPr>
    </w:p>
    <w:p w:rsidR="00C935C4" w:rsidRDefault="007D1541" w:rsidP="00C42F23">
      <w:pPr>
        <w:rPr>
          <w:rFonts w:asciiTheme="majorEastAsia" w:eastAsiaTheme="majorEastAsia" w:hAnsiTheme="majorEastAsia"/>
          <w:sz w:val="22"/>
          <w:szCs w:val="22"/>
        </w:rPr>
      </w:pPr>
      <w:r w:rsidRPr="007D1541">
        <w:rPr>
          <w:rFonts w:asciiTheme="majorEastAsia" w:eastAsiaTheme="majorEastAsia" w:hAnsiTheme="majorEastAsia"/>
          <w:noProof/>
          <w:sz w:val="22"/>
          <w:szCs w:val="22"/>
        </w:rPr>
        <mc:AlternateContent>
          <mc:Choice Requires="wps">
            <w:drawing>
              <wp:anchor distT="0" distB="0" distL="114300" distR="114300" simplePos="0" relativeHeight="251662336" behindDoc="0" locked="0" layoutInCell="1" allowOverlap="1" wp14:editId="36B11C9B">
                <wp:simplePos x="0" y="0"/>
                <wp:positionH relativeFrom="column">
                  <wp:posOffset>3701415</wp:posOffset>
                </wp:positionH>
                <wp:positionV relativeFrom="paragraph">
                  <wp:posOffset>1380490</wp:posOffset>
                </wp:positionV>
                <wp:extent cx="1771650" cy="9620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62025"/>
                        </a:xfrm>
                        <a:prstGeom prst="rect">
                          <a:avLst/>
                        </a:prstGeom>
                        <a:solidFill>
                          <a:srgbClr val="FFFFFF"/>
                        </a:solidFill>
                        <a:ln w="22225">
                          <a:solidFill>
                            <a:srgbClr val="000000"/>
                          </a:solidFill>
                          <a:miter lim="800000"/>
                          <a:headEnd/>
                          <a:tailEnd/>
                        </a:ln>
                      </wps:spPr>
                      <wps:txbx>
                        <w:txbxContent>
                          <w:p w:rsidR="007D1541" w:rsidRPr="006D2353" w:rsidRDefault="007D1541" w:rsidP="006D2353">
                            <w:pPr>
                              <w:ind w:firstLineChars="100" w:firstLine="230"/>
                              <w:rPr>
                                <w:rFonts w:asciiTheme="majorEastAsia" w:eastAsiaTheme="majorEastAsia" w:hAnsiTheme="majorEastAsia"/>
                              </w:rPr>
                            </w:pPr>
                            <w:r w:rsidRPr="006D2353">
                              <w:rPr>
                                <w:rFonts w:asciiTheme="majorEastAsia" w:eastAsiaTheme="majorEastAsia" w:hAnsiTheme="majorEastAsia" w:hint="eastAsia"/>
                              </w:rPr>
                              <w:t>議会への給与条例提出前に賃金確定闘争の山場</w:t>
                            </w:r>
                            <w:r w:rsidR="006D2353">
                              <w:rPr>
                                <w:rFonts w:asciiTheme="majorEastAsia" w:eastAsiaTheme="majorEastAsia" w:hAnsiTheme="majorEastAsia" w:hint="eastAsia"/>
                              </w:rPr>
                              <w:t>を</w:t>
                            </w:r>
                            <w:r w:rsidRPr="006D2353">
                              <w:rPr>
                                <w:rFonts w:asciiTheme="majorEastAsia" w:eastAsiaTheme="majorEastAsia" w:hAnsiTheme="majorEastAsia" w:hint="eastAsia"/>
                              </w:rPr>
                              <w:t>設定</w:t>
                            </w:r>
                            <w:r w:rsidR="006D2353">
                              <w:rPr>
                                <w:rFonts w:asciiTheme="majorEastAsia" w:eastAsiaTheme="majorEastAsia" w:hAnsiTheme="majorEastAsia" w:hint="eastAsia"/>
                              </w:rPr>
                              <w:t>し</w:t>
                            </w:r>
                            <w:r w:rsidRPr="006D2353">
                              <w:rPr>
                                <w:rFonts w:asciiTheme="majorEastAsia" w:eastAsiaTheme="majorEastAsia" w:hAnsiTheme="majorEastAsia" w:hint="eastAsia"/>
                              </w:rPr>
                              <w:t>、労使間での交渉が行</w:t>
                            </w:r>
                            <w:r w:rsidR="006D2353">
                              <w:rPr>
                                <w:rFonts w:asciiTheme="majorEastAsia" w:eastAsiaTheme="majorEastAsia" w:hAnsiTheme="majorEastAsia" w:hint="eastAsia"/>
                              </w:rPr>
                              <w:t>う</w:t>
                            </w:r>
                            <w:r w:rsidRPr="006D2353">
                              <w:rPr>
                                <w:rFonts w:asciiTheme="majorEastAsia" w:eastAsiaTheme="majorEastAsia" w:hAnsiTheme="majorEastAsia"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1.45pt;margin-top:108.7pt;width:139.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" strokeweight="1.75pt">
                <v:textbox>
                  <w:txbxContent>
                    <w:p w:rsidR="007D1541" w:rsidRPr="006D2353" w:rsidRDefault="007D1541" w:rsidP="006D2353">
                      <w:pPr>
                        <w:ind w:firstLineChars="100" w:firstLine="230"/>
                        <w:rPr>
                          <w:rFonts w:asciiTheme="majorEastAsia" w:eastAsiaTheme="majorEastAsia" w:hAnsiTheme="majorEastAsia"/>
                        </w:rPr>
                      </w:pPr>
                      <w:r w:rsidRPr="006D2353">
                        <w:rPr>
                          <w:rFonts w:asciiTheme="majorEastAsia" w:eastAsiaTheme="majorEastAsia" w:hAnsiTheme="majorEastAsia" w:hint="eastAsia"/>
                        </w:rPr>
                        <w:t>議会への給与条例提出前に賃金確定闘争の山場</w:t>
                      </w:r>
                      <w:r w:rsidR="006D2353">
                        <w:rPr>
                          <w:rFonts w:asciiTheme="majorEastAsia" w:eastAsiaTheme="majorEastAsia" w:hAnsiTheme="majorEastAsia" w:hint="eastAsia"/>
                        </w:rPr>
                        <w:t>を</w:t>
                      </w:r>
                      <w:r w:rsidRPr="006D2353">
                        <w:rPr>
                          <w:rFonts w:asciiTheme="majorEastAsia" w:eastAsiaTheme="majorEastAsia" w:hAnsiTheme="majorEastAsia" w:hint="eastAsia"/>
                        </w:rPr>
                        <w:t>設定</w:t>
                      </w:r>
                      <w:r w:rsidR="006D2353">
                        <w:rPr>
                          <w:rFonts w:asciiTheme="majorEastAsia" w:eastAsiaTheme="majorEastAsia" w:hAnsiTheme="majorEastAsia" w:hint="eastAsia"/>
                        </w:rPr>
                        <w:t>し</w:t>
                      </w:r>
                      <w:r w:rsidRPr="006D2353">
                        <w:rPr>
                          <w:rFonts w:asciiTheme="majorEastAsia" w:eastAsiaTheme="majorEastAsia" w:hAnsiTheme="majorEastAsia" w:hint="eastAsia"/>
                        </w:rPr>
                        <w:t>、労使間での交渉が行</w:t>
                      </w:r>
                      <w:r w:rsidR="006D2353">
                        <w:rPr>
                          <w:rFonts w:asciiTheme="majorEastAsia" w:eastAsiaTheme="majorEastAsia" w:hAnsiTheme="majorEastAsia" w:hint="eastAsia"/>
                        </w:rPr>
                        <w:t>う</w:t>
                      </w:r>
                      <w:r w:rsidRPr="006D2353">
                        <w:rPr>
                          <w:rFonts w:asciiTheme="majorEastAsia" w:eastAsiaTheme="majorEastAsia" w:hAnsiTheme="majorEastAsia" w:hint="eastAsia"/>
                        </w:rPr>
                        <w:t>。</w:t>
                      </w:r>
                      <w:bookmarkStart w:id="1" w:name="_GoBack"/>
                      <w:bookmarkEnd w:id="1"/>
                    </w:p>
                  </w:txbxContent>
                </v:textbox>
              </v:shape>
            </w:pict>
          </mc:Fallback>
        </mc:AlternateContent>
      </w:r>
      <w:r>
        <w:rPr>
          <w:rFonts w:asciiTheme="majorEastAsia" w:eastAsiaTheme="majorEastAsia" w:hAnsiTheme="majorEastAsia"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3930015</wp:posOffset>
                </wp:positionH>
                <wp:positionV relativeFrom="paragraph">
                  <wp:posOffset>2123440</wp:posOffset>
                </wp:positionV>
                <wp:extent cx="447675" cy="1847850"/>
                <wp:effectExtent l="57150" t="0" r="28575" b="57150"/>
                <wp:wrapNone/>
                <wp:docPr id="4" name="直線矢印コネクタ 4"/>
                <wp:cNvGraphicFramePr/>
                <a:graphic xmlns:a="http://schemas.openxmlformats.org/drawingml/2006/main">
                  <a:graphicData uri="http://schemas.microsoft.com/office/word/2010/wordprocessingShape">
                    <wps:wsp>
                      <wps:cNvCnPr/>
                      <wps:spPr>
                        <a:xfrm flipH="1">
                          <a:off x="0" y="0"/>
                          <a:ext cx="447675" cy="18478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309.45pt;margin-top:167.2pt;width:35.25pt;height:14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" strokecolor="black [3213]" strokeweight="1.5pt">
                <v:stroke endarrow="open"/>
              </v:shape>
            </w:pict>
          </mc:Fallback>
        </mc:AlternateContent>
      </w:r>
      <w:r>
        <w:rPr>
          <w:rFonts w:asciiTheme="majorEastAsia" w:eastAsiaTheme="majorEastAsia" w:hAnsiTheme="majorEastAsia"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2282190</wp:posOffset>
                </wp:positionH>
                <wp:positionV relativeFrom="paragraph">
                  <wp:posOffset>3828415</wp:posOffset>
                </wp:positionV>
                <wp:extent cx="3219450" cy="923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219450" cy="923925"/>
                        </a:xfrm>
                        <a:prstGeom prst="rect">
                          <a:avLst/>
                        </a:prstGeom>
                        <a:noFill/>
                        <a:ln cmpd="sng">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79.7pt;margin-top:301.45pt;width:253.5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" filled="f" strokecolor="black [3213]" strokeweight="2pt">
                <v:stroke dashstyle="dash"/>
              </v:rect>
            </w:pict>
          </mc:Fallback>
        </mc:AlternateContent>
      </w:r>
      <w:r w:rsidR="00C935C4">
        <w:rPr>
          <w:rFonts w:asciiTheme="majorEastAsia" w:eastAsiaTheme="majorEastAsia" w:hAnsiTheme="majorEastAsia" w:hint="eastAsia"/>
          <w:noProof/>
          <w:sz w:val="22"/>
          <w:szCs w:val="22"/>
        </w:rPr>
        <w:drawing>
          <wp:inline distT="0" distB="0" distL="0" distR="0">
            <wp:extent cx="5400040" cy="6415397"/>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6415397"/>
                    </a:xfrm>
                    <a:prstGeom prst="rect">
                      <a:avLst/>
                    </a:prstGeom>
                    <a:noFill/>
                    <a:ln>
                      <a:noFill/>
                    </a:ln>
                  </pic:spPr>
                </pic:pic>
              </a:graphicData>
            </a:graphic>
          </wp:inline>
        </w:drawing>
      </w:r>
    </w:p>
    <w:sectPr w:rsidR="00C935C4" w:rsidSect="001102F9">
      <w:pgSz w:w="11906" w:h="16838" w:code="9"/>
      <w:pgMar w:top="1418" w:right="1701" w:bottom="1418" w:left="1701" w:header="680" w:footer="680" w:gutter="0"/>
      <w:cols w:space="425"/>
      <w:docGrid w:type="linesAndChars" w:linePitch="328"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41" w:rsidRDefault="007D1541" w:rsidP="007D1541">
      <w:r>
        <w:separator/>
      </w:r>
    </w:p>
  </w:endnote>
  <w:endnote w:type="continuationSeparator" w:id="0">
    <w:p w:rsidR="007D1541" w:rsidRDefault="007D1541" w:rsidP="007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41" w:rsidRDefault="007D1541" w:rsidP="007D1541">
      <w:r>
        <w:separator/>
      </w:r>
    </w:p>
  </w:footnote>
  <w:footnote w:type="continuationSeparator" w:id="0">
    <w:p w:rsidR="007D1541" w:rsidRDefault="007D1541" w:rsidP="007D1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D9"/>
    <w:rsid w:val="001102F9"/>
    <w:rsid w:val="001A0FD9"/>
    <w:rsid w:val="003201DE"/>
    <w:rsid w:val="003F3496"/>
    <w:rsid w:val="00431B5A"/>
    <w:rsid w:val="004B0B5D"/>
    <w:rsid w:val="004C7393"/>
    <w:rsid w:val="00532183"/>
    <w:rsid w:val="006D2353"/>
    <w:rsid w:val="007D1541"/>
    <w:rsid w:val="00906CBB"/>
    <w:rsid w:val="009D40EB"/>
    <w:rsid w:val="00C42F23"/>
    <w:rsid w:val="00C9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E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5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5C4"/>
    <w:rPr>
      <w:rFonts w:asciiTheme="majorHAnsi" w:eastAsiaTheme="majorEastAsia" w:hAnsiTheme="majorHAnsi" w:cstheme="majorBidi"/>
      <w:kern w:val="2"/>
      <w:sz w:val="18"/>
      <w:szCs w:val="18"/>
    </w:rPr>
  </w:style>
  <w:style w:type="paragraph" w:styleId="a5">
    <w:name w:val="header"/>
    <w:basedOn w:val="a"/>
    <w:link w:val="a6"/>
    <w:uiPriority w:val="99"/>
    <w:unhideWhenUsed/>
    <w:rsid w:val="007D1541"/>
    <w:pPr>
      <w:tabs>
        <w:tab w:val="center" w:pos="4252"/>
        <w:tab w:val="right" w:pos="8504"/>
      </w:tabs>
      <w:snapToGrid w:val="0"/>
    </w:pPr>
  </w:style>
  <w:style w:type="character" w:customStyle="1" w:styleId="a6">
    <w:name w:val="ヘッダー (文字)"/>
    <w:basedOn w:val="a0"/>
    <w:link w:val="a5"/>
    <w:uiPriority w:val="99"/>
    <w:rsid w:val="007D1541"/>
    <w:rPr>
      <w:rFonts w:ascii="ＭＳ 明朝"/>
      <w:kern w:val="2"/>
      <w:sz w:val="21"/>
      <w:szCs w:val="24"/>
    </w:rPr>
  </w:style>
  <w:style w:type="paragraph" w:styleId="a7">
    <w:name w:val="footer"/>
    <w:basedOn w:val="a"/>
    <w:link w:val="a8"/>
    <w:uiPriority w:val="99"/>
    <w:unhideWhenUsed/>
    <w:rsid w:val="007D1541"/>
    <w:pPr>
      <w:tabs>
        <w:tab w:val="center" w:pos="4252"/>
        <w:tab w:val="right" w:pos="8504"/>
      </w:tabs>
      <w:snapToGrid w:val="0"/>
    </w:pPr>
  </w:style>
  <w:style w:type="character" w:customStyle="1" w:styleId="a8">
    <w:name w:val="フッター (文字)"/>
    <w:basedOn w:val="a0"/>
    <w:link w:val="a7"/>
    <w:uiPriority w:val="99"/>
    <w:rsid w:val="007D1541"/>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E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5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5C4"/>
    <w:rPr>
      <w:rFonts w:asciiTheme="majorHAnsi" w:eastAsiaTheme="majorEastAsia" w:hAnsiTheme="majorHAnsi" w:cstheme="majorBidi"/>
      <w:kern w:val="2"/>
      <w:sz w:val="18"/>
      <w:szCs w:val="18"/>
    </w:rPr>
  </w:style>
  <w:style w:type="paragraph" w:styleId="a5">
    <w:name w:val="header"/>
    <w:basedOn w:val="a"/>
    <w:link w:val="a6"/>
    <w:uiPriority w:val="99"/>
    <w:unhideWhenUsed/>
    <w:rsid w:val="007D1541"/>
    <w:pPr>
      <w:tabs>
        <w:tab w:val="center" w:pos="4252"/>
        <w:tab w:val="right" w:pos="8504"/>
      </w:tabs>
      <w:snapToGrid w:val="0"/>
    </w:pPr>
  </w:style>
  <w:style w:type="character" w:customStyle="1" w:styleId="a6">
    <w:name w:val="ヘッダー (文字)"/>
    <w:basedOn w:val="a0"/>
    <w:link w:val="a5"/>
    <w:uiPriority w:val="99"/>
    <w:rsid w:val="007D1541"/>
    <w:rPr>
      <w:rFonts w:ascii="ＭＳ 明朝"/>
      <w:kern w:val="2"/>
      <w:sz w:val="21"/>
      <w:szCs w:val="24"/>
    </w:rPr>
  </w:style>
  <w:style w:type="paragraph" w:styleId="a7">
    <w:name w:val="footer"/>
    <w:basedOn w:val="a"/>
    <w:link w:val="a8"/>
    <w:uiPriority w:val="99"/>
    <w:unhideWhenUsed/>
    <w:rsid w:val="007D1541"/>
    <w:pPr>
      <w:tabs>
        <w:tab w:val="center" w:pos="4252"/>
        <w:tab w:val="right" w:pos="8504"/>
      </w:tabs>
      <w:snapToGrid w:val="0"/>
    </w:pPr>
  </w:style>
  <w:style w:type="character" w:customStyle="1" w:styleId="a8">
    <w:name w:val="フッター (文字)"/>
    <w:basedOn w:val="a0"/>
    <w:link w:val="a7"/>
    <w:uiPriority w:val="99"/>
    <w:rsid w:val="007D154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自治労県本支部</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自治労県本支部</dc:creator>
  <cp:lastModifiedBy>自治労県本支部</cp:lastModifiedBy>
  <cp:revision>2</cp:revision>
  <dcterms:created xsi:type="dcterms:W3CDTF">2015-05-27T00:33:00Z</dcterms:created>
  <dcterms:modified xsi:type="dcterms:W3CDTF">2015-05-27T00:33:00Z</dcterms:modified>
</cp:coreProperties>
</file>